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035.0" w:type="dxa"/>
        <w:jc w:val="center"/>
        <w:tblLayout w:type="fixed"/>
        <w:tblLook w:val="0000"/>
      </w:tblPr>
      <w:tblGrid>
        <w:gridCol w:w="2700"/>
        <w:gridCol w:w="2940"/>
        <w:gridCol w:w="4395"/>
        <w:tblGridChange w:id="0">
          <w:tblGrid>
            <w:gridCol w:w="2700"/>
            <w:gridCol w:w="2940"/>
            <w:gridCol w:w="4395"/>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w:t>
            </w:r>
            <w:r w:rsidDel="00000000" w:rsidR="00000000" w:rsidRPr="00000000">
              <w:rPr>
                <w:rFonts w:ascii="Arial" w:cs="Arial" w:eastAsia="Arial" w:hAnsi="Arial"/>
                <w:b w:val="1"/>
                <w:bCs w:val="1"/>
                <w:rtl w:val="0"/>
              </w:rPr>
              <w:t xml:space="preserve">SUBSECRETARÍA DE INFRAESTRUCTURA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pPr>
            <w:r w:rsidDel="00000000" w:rsidR="00000000" w:rsidRPr="00000000">
              <w:rPr>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Secretaría del Deporte y la Recreación del proyecto denominado Conservación de la infraestructura deportiva y recreativa del distrito especial de Santiago de Cali BP - 26005399</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4162.010.26.1.4590-2025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KRYSTHIAN DAVID RAMIREZ MUNEVAR</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ANTONIO JOSE MEJIA NARANJO</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320.9765625"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16738357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10.890.000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12/NOV/2025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31</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DIC</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pPr>
            <w:r w:rsidDel="00000000" w:rsidR="00000000" w:rsidRPr="00000000">
              <w:rPr>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$ 2.178.000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9495426898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1961892940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APORTES EN LÍNEA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28/NOV/2025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NOVIEMBRE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(01)</w:t>
            </w:r>
          </w:p>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E">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tl w:val="0"/>
              </w:rPr>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Realizar informes estadísticos, definición de variables e indicadores en las actividades e investigaciones integradas en el Observatorio</w:t>
            </w: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Realizar acciones de articulación de conocimiento con entidades de la administración distrital y organizaciones del sector. </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Participar en la Mesa Interdisciplinaria de Trabajo para el análisis de la base de datos de infraestructura deportiva de la ciudad</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Las demás que le sean asignadas en el desarrollo del objeto contractual.</w:t>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rPr>
                <w:color w:val="000000"/>
              </w:rPr>
            </w:pPr>
            <w:r w:rsidDel="00000000" w:rsidR="00000000" w:rsidRPr="00000000">
              <w:rPr>
                <w:rtl w:val="0"/>
              </w:rPr>
            </w:r>
          </w:p>
          <w:p w:rsidR="00000000" w:rsidDel="00000000" w:rsidP="00000000" w:rsidRDefault="00000000" w:rsidRPr="00000000" w14:paraId="00000082">
            <w:pPr>
              <w:rPr>
                <w:color w:val="000000"/>
              </w:rPr>
            </w:pPr>
            <w:r w:rsidDel="00000000" w:rsidR="00000000" w:rsidRPr="00000000">
              <w:rPr>
                <w:rtl w:val="0"/>
              </w:rPr>
            </w:r>
          </w:p>
          <w:p w:rsidR="00000000" w:rsidDel="00000000" w:rsidP="00000000" w:rsidRDefault="00000000" w:rsidRPr="00000000" w14:paraId="00000083">
            <w:pPr>
              <w:rPr>
                <w:color w:val="000000"/>
              </w:rPr>
            </w:pP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R</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ealicé entrevistas a funcionarios y exsecretario del deporte y la recreación que tiene como propósito realizar la publicación conmemorativa de los 30 años del organismo y que visualizará la trayectoria de la Secretaría del Deporte y la Recreación desde su instalación a la actualidad y en la que se destacará los hitos más relevantes. (Ver anexo 1.1)</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Analicé las cifras y datos de las carreras realizadas por la subsecretaría de fomento del deporte y que mide los niveles de satisfacción de los participantes en los diferentes aspectos estandarizados y que se convierten en insumo de un estudio longitudinal favoreciendo la evaluación permanente y la decisión sobre los ajustes preventivos y correctivos para las siguientes versiones por parte de los responsables y operadores. (Ver anexo 1.2)</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Coordiné las acciones de la medición de los participantes de la Ciclovida y consolidó la información del análisis para la elaboración del informe de la estimación del año 2025, con la respectiva validación del comité estadístico Distrital para la publicación y difusión (Ver anexo 1.3)</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Consolidé la información de satisfacción de los participantes en las carreras realizadas por la Subsecretaría de fomento y realizó informe comparativo de las tendencias de las opiniones recopiladas mediante los instrumentos aplicados para la encuesta. La información es insumo para la toma de decisiones de los organizadores, así como para los operadores en futuras vigencias (Ver anexo 1.4)</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 Presenté los datos y cifras con su respectivo tratamiento al comité estadístico distrital para su validación orientándose la gestión a convertir el ejercicio de medición y estimación en una operación estadística de la Alcaldía de Santiago de Cali, como parte de los avances de la producción, tratamiento y difusión de la información producida por el organismo. (Ver anexo 2.1)</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Expuse el análisis comparativo de los modelos de administración de instalaciones deportivas de América Latina y europeos a los equipos de administración de escenarios deportivos de Santiago de Cali dando como resultado los principales elementos necesarios para una administración eficiente. Los modelos analizados lo componen diferentes atributos y conceptos que pueden enriquecer la labor de los gestores de administración de escenarios cualificando la labor y pueden garantizar la eficiencia del gasto público.</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382" w:right="0" w:hanging="38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 Participé de las reuniones programadas por la coordinación del Observatorio del deporte, la recreación y la actividad física, en el que se establecieron la programación de actividades, análisis de información, y planes de trabajo de los integrantes del equipo.</w:t>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382" w:right="0" w:hanging="38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4.2 Asistí al conversatorio de las fuentes de información del sector del deporte y en que se realizó el análisis especialmente de la tasa prodeporte que se convirtió en una sustitución de recursos y no se convirtió en un recurso adicional para el apoyo del sector del deporte.</w:t>
            </w:r>
          </w:p>
        </w:tc>
      </w:tr>
      <w:tr>
        <w:trPr>
          <w:cantSplit w:val="0"/>
          <w:trHeight w:val="1222"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35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35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r:id="rId7">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https://drive.google.com/drive/folders/1TA6gvaATRfy0N8Qtl55ar-0ltV36j1m9</w:t>
              </w:r>
            </w:hyperlink>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417"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401"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574040</wp:posOffset>
                  </wp:positionH>
                  <wp:positionV relativeFrom="paragraph">
                    <wp:posOffset>-59052</wp:posOffset>
                  </wp:positionV>
                  <wp:extent cx="1449070" cy="1384935"/>
                  <wp:effectExtent b="196593" l="184544" r="184544" t="196593"/>
                  <wp:wrapNone/>
                  <wp:docPr id="163835508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rot="1128332">
                            <a:off x="0" y="0"/>
                            <a:ext cx="1449070" cy="1384935"/>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Fonts w:ascii="Arial" w:cs="Arial" w:eastAsia="Arial" w:hAnsi="Arial"/>
                <w:sz w:val="22"/>
                <w:szCs w:val="22"/>
                <w:rtl w:val="0"/>
              </w:rPr>
              <w:t xml:space="preserve">19/DIC/2025</w:t>
            </w:r>
            <w:r w:rsidDel="00000000" w:rsidR="00000000" w:rsidRPr="00000000">
              <w:rPr>
                <w:rtl w:val="0"/>
              </w:rPr>
            </w:r>
          </w:p>
        </w:tc>
      </w:tr>
    </w:tbl>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2679CD"/>
    <w:rPr>
      <w:color w:val="0563c1" w:themeColor="hyperlink"/>
      <w:u w:val="single"/>
    </w:rPr>
  </w:style>
  <w:style w:type="character" w:styleId="Mencinsinresolver">
    <w:name w:val="Unresolved Mention"/>
    <w:basedOn w:val="Fuentedeprrafopredeter"/>
    <w:uiPriority w:val="99"/>
    <w:semiHidden w:val="1"/>
    <w:unhideWhenUsed w:val="1"/>
    <w:rsid w:val="002679CD"/>
    <w:rPr>
      <w:color w:val="605e5c"/>
      <w:shd w:color="auto" w:fill="e1dfdd" w:val="clear"/>
    </w:rPr>
  </w:style>
  <w:style w:type="table" w:styleId="a" w:customStyle="1">
    <w:basedOn w:val="TableNormal0"/>
    <w:tblPr>
      <w:tblStyleRowBandSize w:val="1"/>
      <w:tblStyleColBandSize w:val="1"/>
      <w:tblCellMar>
        <w:left w:w="22.0" w:type="dxa"/>
        <w:right w:w="22.0" w:type="dxa"/>
      </w:tblCellMar>
    </w:tblPr>
  </w:style>
  <w:style w:type="table" w:styleId="a0" w:customStyle="1">
    <w:basedOn w:val="TableNormal0"/>
    <w:tblPr>
      <w:tblStyleRowBandSize w:val="1"/>
      <w:tblStyleColBandSize w:val="1"/>
      <w:tblCellMar>
        <w:left w:w="115.0" w:type="dxa"/>
        <w:right w:w="115.0" w:type="dxa"/>
      </w:tblCellMar>
    </w:tblPr>
  </w:style>
  <w:style w:type="table" w:styleId="a1" w:customStyle="1">
    <w:basedOn w:val="TableNormal0"/>
    <w:tblPr>
      <w:tblStyleRowBandSize w:val="1"/>
      <w:tblStyleColBandSize w:val="1"/>
      <w:tblCellMar>
        <w:left w:w="22.0" w:type="dxa"/>
        <w:right w:w="22.0" w:type="dxa"/>
      </w:tblCellMar>
    </w:tblPr>
  </w:style>
  <w:style w:type="table" w:styleId="a2" w:customStyle="1">
    <w:basedOn w:val="TableNormal0"/>
    <w:tblPr>
      <w:tblStyleRowBandSize w:val="1"/>
      <w:tblStyleColBandSize w:val="1"/>
      <w:tblCellMar>
        <w:left w:w="115.0" w:type="dxa"/>
        <w:right w:w="115.0" w:type="dxa"/>
      </w:tblCellMar>
    </w:tblPr>
  </w:style>
  <w:style w:type="character" w:styleId="Hipervnculovisitado">
    <w:name w:val="FollowedHyperlink"/>
    <w:basedOn w:val="Fuentedeprrafopredeter"/>
    <w:uiPriority w:val="99"/>
    <w:semiHidden w:val="1"/>
    <w:unhideWhenUsed w:val="1"/>
    <w:rsid w:val="000F6891"/>
    <w:rPr>
      <w:color w:val="954f72" w:themeColor="followedHyperlink"/>
      <w:u w:val="single"/>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TA6gvaATRfy0N8Qtl55ar-0ltV36j1m9"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TesvVzPVRuHBT6rQeNF8agqcBg==">CgMxLjA4AHIhMWxuc0xQX3BHOV9jS19CUWJVV3dsaUhFUWI4NXVlaWd0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2025-06-12T20:15:00Z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